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41" w:rsidRPr="008404F1" w:rsidRDefault="000B2E9A" w:rsidP="00C93268">
      <w:pPr>
        <w:jc w:val="center"/>
        <w:rPr>
          <w:b/>
          <w:bCs/>
          <w:color w:val="FF0000"/>
          <w:sz w:val="40"/>
          <w:szCs w:val="40"/>
          <w:rtl/>
          <w:lang w:bidi="ar-EG"/>
        </w:rPr>
      </w:pPr>
      <w:r w:rsidRPr="008404F1">
        <w:rPr>
          <w:rFonts w:hint="cs"/>
          <w:b/>
          <w:bCs/>
          <w:color w:val="FF0000"/>
          <w:sz w:val="40"/>
          <w:szCs w:val="40"/>
          <w:rtl/>
          <w:lang w:bidi="ar-EG"/>
        </w:rPr>
        <w:t>لانُعين الر</w:t>
      </w:r>
      <w:r w:rsidR="00C93268">
        <w:rPr>
          <w:rFonts w:hint="cs"/>
          <w:b/>
          <w:bCs/>
          <w:color w:val="FF0000"/>
          <w:sz w:val="40"/>
          <w:szCs w:val="40"/>
          <w:rtl/>
          <w:lang w:bidi="ar-EG"/>
        </w:rPr>
        <w:t>اح</w:t>
      </w:r>
      <w:bookmarkStart w:id="0" w:name="_GoBack"/>
      <w:bookmarkEnd w:id="0"/>
      <w:r w:rsidRPr="008404F1">
        <w:rPr>
          <w:rFonts w:hint="cs"/>
          <w:b/>
          <w:bCs/>
          <w:color w:val="FF0000"/>
          <w:sz w:val="40"/>
          <w:szCs w:val="40"/>
          <w:rtl/>
          <w:lang w:bidi="ar-EG"/>
        </w:rPr>
        <w:t>ل على الفراق</w:t>
      </w:r>
    </w:p>
    <w:p w:rsidR="000B2E9A" w:rsidRDefault="000B2E9A">
      <w:pPr>
        <w:rPr>
          <w:rtl/>
          <w:lang w:bidi="ar-EG"/>
        </w:rPr>
      </w:pPr>
    </w:p>
    <w:p w:rsidR="000B2E9A" w:rsidRPr="000B2E9A" w:rsidRDefault="000B2E9A" w:rsidP="000B2E9A">
      <w:pPr>
        <w:bidi/>
        <w:rPr>
          <w:b/>
          <w:bCs/>
          <w:sz w:val="28"/>
          <w:szCs w:val="28"/>
          <w:lang w:bidi="ar-EG"/>
        </w:rPr>
      </w:pPr>
      <w:r w:rsidRPr="000B2E9A">
        <w:rPr>
          <w:rFonts w:hint="cs"/>
          <w:b/>
          <w:bCs/>
          <w:sz w:val="28"/>
          <w:szCs w:val="28"/>
          <w:rtl/>
          <w:lang w:bidi="ar-EG"/>
        </w:rPr>
        <w:t>روى المبّرد فى الكامل : أن شاعرا أتى أبا البَخْتَرىّ وكان من أجود الناس , فمدحه فسُرّ من مدحه فأعطاه كل حوائجه وزاد حتى أجلسه على الوسادة وهَشّ</w:t>
      </w:r>
      <w:r w:rsidR="008404F1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0B2E9A">
        <w:rPr>
          <w:rFonts w:hint="cs"/>
          <w:b/>
          <w:bCs/>
          <w:sz w:val="28"/>
          <w:szCs w:val="28"/>
          <w:rtl/>
          <w:lang w:bidi="ar-EG"/>
        </w:rPr>
        <w:t>له ورفده , وأضافه إضافة كريمة , فلما أراد الشاعر الرحلة , لم يخدمه غلمانه ولا عقد له وحلّ له , فأنكر الرجل ذلك مع جميل مافُعل به وماجاوز أمله , فعاتب بعضهم , فقال له الغلام : إنما نُعين النازل على الاقامة ولا نعين الراحل على الفراق . فكان فعل هؤلاء العبيد على المقصد أحسن من رِ</w:t>
      </w:r>
      <w:r>
        <w:rPr>
          <w:rFonts w:hint="cs"/>
          <w:b/>
          <w:bCs/>
          <w:sz w:val="28"/>
          <w:szCs w:val="28"/>
          <w:rtl/>
          <w:lang w:bidi="ar-EG"/>
        </w:rPr>
        <w:t>فْد</w:t>
      </w:r>
      <w:r w:rsidRPr="000B2E9A">
        <w:rPr>
          <w:rFonts w:hint="cs"/>
          <w:b/>
          <w:bCs/>
          <w:sz w:val="28"/>
          <w:szCs w:val="28"/>
          <w:rtl/>
          <w:lang w:bidi="ar-EG"/>
        </w:rPr>
        <w:t xml:space="preserve"> سيدهم</w:t>
      </w:r>
    </w:p>
    <w:sectPr w:rsidR="000B2E9A" w:rsidRPr="000B2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C9"/>
    <w:rsid w:val="000B2E9A"/>
    <w:rsid w:val="008404F1"/>
    <w:rsid w:val="00B51CC9"/>
    <w:rsid w:val="00C93268"/>
    <w:rsid w:val="00CA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38AFA"/>
  <w15:chartTrackingRefBased/>
  <w15:docId w15:val="{68A0C838-523F-4B20-A7DC-0DC2E4BA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2021-02-07T09:38:00Z</dcterms:created>
  <dcterms:modified xsi:type="dcterms:W3CDTF">2021-02-07T09:56:00Z</dcterms:modified>
</cp:coreProperties>
</file>